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1D3C8" w14:textId="77777777" w:rsidR="00B47189" w:rsidRDefault="00F505B2">
      <w:pPr>
        <w:pStyle w:val="Standard"/>
        <w:shd w:val="clear" w:color="auto" w:fill="FFFFFF"/>
        <w:ind w:right="60"/>
      </w:pPr>
      <w:r>
        <w:rPr>
          <w:b/>
        </w:rPr>
        <w:t>ACCESSO CIVICO SEMPLICE</w:t>
      </w:r>
    </w:p>
    <w:p w14:paraId="7B46518E" w14:textId="77777777" w:rsidR="00B47189" w:rsidRDefault="00B47189">
      <w:pPr>
        <w:pStyle w:val="Standard"/>
        <w:shd w:val="clear" w:color="auto" w:fill="FFFFFF"/>
        <w:ind w:right="60"/>
      </w:pPr>
    </w:p>
    <w:p w14:paraId="53B3B3BD" w14:textId="77777777" w:rsidR="00B47189" w:rsidRDefault="00F505B2">
      <w:pPr>
        <w:pStyle w:val="Standard"/>
        <w:shd w:val="clear" w:color="auto" w:fill="FFFFFF"/>
        <w:ind w:right="60"/>
        <w:jc w:val="both"/>
      </w:pPr>
      <w:r>
        <w:rPr>
          <w:b/>
        </w:rPr>
        <w:t>Chi può esercitarlo</w:t>
      </w:r>
    </w:p>
    <w:p w14:paraId="30033CF1" w14:textId="77777777" w:rsidR="00B47189" w:rsidRDefault="00F505B2">
      <w:pPr>
        <w:pStyle w:val="Standard"/>
        <w:shd w:val="clear" w:color="auto" w:fill="FFFFFF"/>
        <w:ind w:right="60"/>
        <w:jc w:val="both"/>
      </w:pPr>
      <w:r>
        <w:t xml:space="preserve">L’accesso civico semplice è riconosciuto in capo a </w:t>
      </w:r>
      <w:r>
        <w:rPr>
          <w:b/>
        </w:rPr>
        <w:t>chiunque</w:t>
      </w:r>
      <w:r>
        <w:t xml:space="preserve">, anche se non cittadino o non residente in </w:t>
      </w:r>
      <w:proofErr w:type="gramStart"/>
      <w:r>
        <w:t>Italia,  prescindendo</w:t>
      </w:r>
      <w:proofErr w:type="gramEnd"/>
      <w:r>
        <w:t xml:space="preserve"> quindi dalla titolarità di diritti o interessi qualificati.</w:t>
      </w:r>
    </w:p>
    <w:p w14:paraId="0745B6E1" w14:textId="77777777" w:rsidR="00B47189" w:rsidRDefault="00B47189">
      <w:pPr>
        <w:pStyle w:val="Standard"/>
        <w:shd w:val="clear" w:color="auto" w:fill="FFFFFF"/>
        <w:ind w:right="60"/>
      </w:pPr>
    </w:p>
    <w:p w14:paraId="18859A9A" w14:textId="77777777" w:rsidR="00B47189" w:rsidRDefault="00F505B2">
      <w:pPr>
        <w:pStyle w:val="Standard"/>
        <w:shd w:val="clear" w:color="auto" w:fill="FFFFFF"/>
        <w:ind w:right="60"/>
      </w:pPr>
      <w:r>
        <w:rPr>
          <w:b/>
        </w:rPr>
        <w:t>Oggetto</w:t>
      </w:r>
    </w:p>
    <w:p w14:paraId="5888B6A6" w14:textId="77777777" w:rsidR="00B47189" w:rsidRDefault="00F505B2">
      <w:pPr>
        <w:pStyle w:val="Standard"/>
        <w:shd w:val="clear" w:color="auto" w:fill="FFFFFF"/>
        <w:jc w:val="both"/>
      </w:pPr>
      <w:r>
        <w:t xml:space="preserve">Possono essere oggetto di accesso civico semplice i </w:t>
      </w:r>
      <w:r>
        <w:rPr>
          <w:b/>
        </w:rPr>
        <w:t>dati, documenti</w:t>
      </w:r>
      <w:r>
        <w:t xml:space="preserve"> e </w:t>
      </w:r>
      <w:r>
        <w:rPr>
          <w:b/>
        </w:rPr>
        <w:t>informazioni</w:t>
      </w:r>
      <w:r>
        <w:t xml:space="preserve"> oggetto di pubblicazione obbligatoria, qualora l’Ente ne abbia omesso in tutto o in parte la pubblicazione sul proprio sito istituzionale (il richiedente può specificare, qualora ne sia a conoscenza, la disposizione normativa che impone la pubblicazione). Non è necessario indicare una </w:t>
      </w:r>
      <w:r>
        <w:rPr>
          <w:b/>
        </w:rPr>
        <w:t>motivazione</w:t>
      </w:r>
      <w:r>
        <w:t xml:space="preserve">, ma </w:t>
      </w:r>
      <w:r>
        <w:rPr>
          <w:shd w:val="clear" w:color="auto" w:fill="FFFFFF"/>
        </w:rPr>
        <w:t>è necessario identificare in modo chiaro e puntuale i dati, documenti o informazioni ai quali si intende accedere.</w:t>
      </w:r>
    </w:p>
    <w:p w14:paraId="0FD3DAB2" w14:textId="77777777" w:rsidR="00B47189" w:rsidRDefault="00B47189">
      <w:pPr>
        <w:pStyle w:val="Standard"/>
        <w:shd w:val="clear" w:color="auto" w:fill="FFFFFF"/>
        <w:jc w:val="both"/>
        <w:rPr>
          <w:b/>
        </w:rPr>
      </w:pPr>
    </w:p>
    <w:p w14:paraId="4D7990B7" w14:textId="77777777" w:rsidR="00B47189" w:rsidRDefault="00F505B2">
      <w:pPr>
        <w:pStyle w:val="Standard"/>
        <w:shd w:val="clear" w:color="auto" w:fill="FFFFFF"/>
        <w:jc w:val="both"/>
      </w:pPr>
      <w:r>
        <w:rPr>
          <w:b/>
        </w:rPr>
        <w:t>Modalità di presentazione della richiesta</w:t>
      </w:r>
    </w:p>
    <w:p w14:paraId="4BB1A335" w14:textId="77777777" w:rsidR="00B47189" w:rsidRDefault="00F505B2">
      <w:pPr>
        <w:pStyle w:val="Standard"/>
        <w:shd w:val="clear" w:color="auto" w:fill="FFFFFF"/>
        <w:jc w:val="both"/>
      </w:pPr>
      <w:r>
        <w:t xml:space="preserve">L’accesso civico </w:t>
      </w:r>
      <w:proofErr w:type="gramStart"/>
      <w:r>
        <w:t>semplice  è</w:t>
      </w:r>
      <w:proofErr w:type="gramEnd"/>
      <w:r>
        <w:t xml:space="preserve"> formulato mediante una </w:t>
      </w:r>
      <w:r>
        <w:rPr>
          <w:b/>
        </w:rPr>
        <w:t>richiesta scritta</w:t>
      </w:r>
      <w:r>
        <w:t>, redatta utilizzando il seguente</w:t>
      </w:r>
      <w:r>
        <w:rPr>
          <w:color w:val="1155CC"/>
        </w:rPr>
        <w:t xml:space="preserve"> modulo</w:t>
      </w:r>
      <w:r>
        <w:t xml:space="preserve"> </w:t>
      </w:r>
      <w:r>
        <w:rPr>
          <w:shd w:val="clear" w:color="auto" w:fill="FFFFFF"/>
        </w:rPr>
        <w:t>o su altro supporto cartaceo</w:t>
      </w:r>
      <w:r>
        <w:t xml:space="preserve"> e deve essere presentata </w:t>
      </w:r>
      <w:r>
        <w:rPr>
          <w:b/>
        </w:rPr>
        <w:t xml:space="preserve">al Responsabile della Prevenzione della Corruzione e della Trasparenza (RPCT) </w:t>
      </w:r>
      <w:r>
        <w:t xml:space="preserve">dell’Ente, </w:t>
      </w:r>
      <w:r>
        <w:rPr>
          <w:shd w:val="clear" w:color="auto" w:fill="FFFFFF"/>
        </w:rPr>
        <w:t>con le seguenti modalità:</w:t>
      </w:r>
    </w:p>
    <w:p w14:paraId="7FF1536B" w14:textId="77777777" w:rsidR="00F505B2" w:rsidRDefault="00F505B2" w:rsidP="00F505B2">
      <w:pPr>
        <w:pStyle w:val="Standard"/>
        <w:numPr>
          <w:ilvl w:val="0"/>
          <w:numId w:val="1"/>
        </w:numPr>
        <w:ind w:right="62"/>
        <w:jc w:val="both"/>
      </w:pPr>
      <w:r>
        <w:t>consegna diretta all’Automobile Club di Bolzano, Corso Italia 19/A, 39100 Bolzano (BZ) posta ordinaria, semplice o raccomandata, al seguente indirizzo: Automobile Club di</w:t>
      </w:r>
      <w:r w:rsidRPr="00F618E3">
        <w:t xml:space="preserve"> </w:t>
      </w:r>
      <w:r>
        <w:t>Bolzano, Corso Italia 19/A, 39100 Bolzano (BZ)</w:t>
      </w:r>
    </w:p>
    <w:p w14:paraId="681A394A" w14:textId="77777777" w:rsidR="00F505B2" w:rsidRDefault="00F505B2" w:rsidP="00F505B2">
      <w:pPr>
        <w:pStyle w:val="Standard"/>
        <w:numPr>
          <w:ilvl w:val="0"/>
          <w:numId w:val="1"/>
        </w:numPr>
        <w:ind w:right="62"/>
        <w:jc w:val="both"/>
      </w:pPr>
      <w:r>
        <w:t>posta elettronica segreteria@acibz.it</w:t>
      </w:r>
    </w:p>
    <w:p w14:paraId="5114AAD1" w14:textId="77777777" w:rsidR="00F505B2" w:rsidRDefault="00F505B2" w:rsidP="00F505B2">
      <w:pPr>
        <w:pStyle w:val="Standard"/>
        <w:numPr>
          <w:ilvl w:val="0"/>
          <w:numId w:val="1"/>
        </w:numPr>
        <w:ind w:right="62"/>
        <w:jc w:val="both"/>
      </w:pPr>
      <w:r>
        <w:t>posta elettronica certificata automobileclubbolzanobozen@pec.aci.it</w:t>
      </w:r>
    </w:p>
    <w:p w14:paraId="0024D808" w14:textId="77777777" w:rsidR="00B47189" w:rsidRDefault="00B47189">
      <w:pPr>
        <w:pStyle w:val="Standard"/>
        <w:shd w:val="clear" w:color="auto" w:fill="FFFFFF"/>
      </w:pPr>
    </w:p>
    <w:p w14:paraId="20804EA6" w14:textId="77777777" w:rsidR="00B47189" w:rsidRDefault="00F505B2">
      <w:pPr>
        <w:pStyle w:val="Standard"/>
        <w:ind w:right="60"/>
        <w:jc w:val="both"/>
      </w:pPr>
      <w:r>
        <w:t xml:space="preserve">La richiesta deve essere sottoscritta e, in caso </w:t>
      </w:r>
      <w:r>
        <w:rPr>
          <w:shd w:val="clear" w:color="auto" w:fill="FFFFFF"/>
        </w:rPr>
        <w:t xml:space="preserve">di trasmissione a mezzo posta ordinaria, semplice o raccomandata, fax, posta elettronica, ovvero di consegna diretta in plico chiuso all’AC, deve essere corredata di copia del </w:t>
      </w:r>
      <w:r>
        <w:rPr>
          <w:b/>
          <w:shd w:val="clear" w:color="auto" w:fill="FFFFFF"/>
        </w:rPr>
        <w:t>documento di identità</w:t>
      </w:r>
      <w:r>
        <w:rPr>
          <w:shd w:val="clear" w:color="auto" w:fill="FFFFFF"/>
        </w:rPr>
        <w:t xml:space="preserve"> del richiedente. Qualora la richiesta sia presentata personalmente e sottoscritta dall’interessato in presenza del dipendente dell’AC, questi deve provvedere all’identificazione mediante la presa visione di un documento di identità originale del sottoscrittore e la trascrizione sulla richiesta degli estremi dello stesso documento.</w:t>
      </w:r>
    </w:p>
    <w:p w14:paraId="7556026E" w14:textId="77777777" w:rsidR="00B47189" w:rsidRDefault="00B47189">
      <w:pPr>
        <w:pStyle w:val="Standard"/>
        <w:shd w:val="clear" w:color="auto" w:fill="FFFFFF"/>
        <w:jc w:val="both"/>
      </w:pPr>
    </w:p>
    <w:p w14:paraId="7FA8332A" w14:textId="77777777" w:rsidR="00B47189" w:rsidRDefault="00F505B2">
      <w:pPr>
        <w:pStyle w:val="Standard"/>
        <w:shd w:val="clear" w:color="auto" w:fill="FFFFFF"/>
        <w:jc w:val="both"/>
      </w:pPr>
      <w:r>
        <w:rPr>
          <w:b/>
        </w:rPr>
        <w:t>Termi</w:t>
      </w:r>
      <w:r>
        <w:rPr>
          <w:b/>
          <w:shd w:val="clear" w:color="auto" w:fill="FFFFFF"/>
        </w:rPr>
        <w:t xml:space="preserve">ni ed esito </w:t>
      </w:r>
      <w:r>
        <w:rPr>
          <w:b/>
        </w:rPr>
        <w:t>del procedimento</w:t>
      </w:r>
    </w:p>
    <w:p w14:paraId="72BFC02D" w14:textId="77777777" w:rsidR="00B47189" w:rsidRDefault="00F505B2">
      <w:pPr>
        <w:pStyle w:val="Standard"/>
        <w:shd w:val="clear" w:color="auto" w:fill="FFFFFF"/>
        <w:jc w:val="both"/>
      </w:pPr>
      <w:r>
        <w:t xml:space="preserve">Il RPCT, ricevuta la richiesta, ne verifica la fondatezza ed </w:t>
      </w:r>
      <w:r>
        <w:rPr>
          <w:b/>
        </w:rPr>
        <w:t>entro trenta giorni</w:t>
      </w:r>
      <w:r>
        <w:t xml:space="preserve"> dalla presentazione, decide sull’istanza con provvedimento espresso e motivato. In caso di </w:t>
      </w:r>
      <w:r>
        <w:rPr>
          <w:b/>
        </w:rPr>
        <w:t>accoglimento</w:t>
      </w:r>
      <w:r>
        <w:t xml:space="preserve"> o se, comunque, il documento, l’informazione o il dato richiesti risultino essere già pubblicati sul sito istituzionale dell’Ente, il RPCT comunica tempestivamente al richiedente l’avvenuta pubblicazione indicandogli il relativo </w:t>
      </w:r>
      <w:r>
        <w:rPr>
          <w:i/>
        </w:rPr>
        <w:t>link</w:t>
      </w:r>
      <w:r>
        <w:t xml:space="preserve"> ipertestuale.</w:t>
      </w:r>
    </w:p>
    <w:p w14:paraId="20DA5F85" w14:textId="2180D027" w:rsidR="00F505B2" w:rsidRDefault="00F505B2">
      <w:pPr>
        <w:pStyle w:val="Standard"/>
        <w:shd w:val="clear" w:color="auto" w:fill="FFFFFF"/>
        <w:jc w:val="both"/>
      </w:pPr>
      <w:r w:rsidRPr="00F505B2">
        <w:t xml:space="preserve">Per la disciplina dettagliata dei criteri, limiti e modalità organizzative per l’esercizio, nei confronti dell’Ente, dell’accesso civico semplice, si fa rinvio al Capo III del Regolamento in materia di accesso documentale e di accesso civico semplice e </w:t>
      </w:r>
      <w:proofErr w:type="gramStart"/>
      <w:r w:rsidRPr="00F505B2">
        <w:t>generalizzato ,</w:t>
      </w:r>
      <w:proofErr w:type="gramEnd"/>
      <w:r w:rsidRPr="00F505B2">
        <w:t xml:space="preserve"> adottato con delibera del Consiglio Direttivo del </w:t>
      </w:r>
      <w:r w:rsidR="007A56EA">
        <w:t>14/06/2024.</w:t>
      </w:r>
    </w:p>
    <w:p w14:paraId="05BDE977" w14:textId="77777777" w:rsidR="00F505B2" w:rsidRDefault="00F505B2">
      <w:pPr>
        <w:pStyle w:val="Standard"/>
        <w:shd w:val="clear" w:color="auto" w:fill="FFFFFF"/>
        <w:jc w:val="both"/>
        <w:rPr>
          <w:b/>
        </w:rPr>
      </w:pPr>
    </w:p>
    <w:p w14:paraId="39276031" w14:textId="0546BC99" w:rsidR="00B47189" w:rsidRDefault="00F505B2">
      <w:pPr>
        <w:pStyle w:val="Standard"/>
        <w:shd w:val="clear" w:color="auto" w:fill="FFFFFF"/>
        <w:jc w:val="both"/>
      </w:pPr>
      <w:r>
        <w:rPr>
          <w:b/>
        </w:rPr>
        <w:t>Tutela</w:t>
      </w:r>
    </w:p>
    <w:p w14:paraId="36A20F18" w14:textId="77777777" w:rsidR="00B47189" w:rsidRDefault="00F505B2">
      <w:pPr>
        <w:pStyle w:val="Standard"/>
        <w:spacing w:line="240" w:lineRule="auto"/>
        <w:ind w:right="60"/>
        <w:jc w:val="both"/>
      </w:pPr>
      <w:r>
        <w:t xml:space="preserve">Avverso la decisione del RPCT, il richiedente può altresì proporre </w:t>
      </w:r>
      <w:r>
        <w:rPr>
          <w:b/>
        </w:rPr>
        <w:t>ricorso giurisdizionale al Tribunale Amministrativo Regionale</w:t>
      </w:r>
      <w:r>
        <w:t>, ai sensi dell’art. 116 del Codice del processo amministrativo (decreto legislativo 2 luglio 2010, n. 104).</w:t>
      </w:r>
    </w:p>
    <w:p w14:paraId="0229D6A7" w14:textId="77777777" w:rsidR="00B47189" w:rsidRDefault="00B47189">
      <w:pPr>
        <w:pStyle w:val="Standard"/>
        <w:shd w:val="clear" w:color="auto" w:fill="FFFFFF"/>
        <w:jc w:val="both"/>
      </w:pPr>
    </w:p>
    <w:p w14:paraId="1A1C6A5C" w14:textId="77777777" w:rsidR="00B47189" w:rsidRDefault="00B47189">
      <w:pPr>
        <w:pStyle w:val="Standard"/>
        <w:shd w:val="clear" w:color="auto" w:fill="FFFFFF"/>
        <w:ind w:right="60"/>
        <w:rPr>
          <w:b/>
        </w:rPr>
      </w:pPr>
    </w:p>
    <w:p w14:paraId="4F290CE9" w14:textId="77777777" w:rsidR="00B47189" w:rsidRDefault="00F505B2">
      <w:pPr>
        <w:pStyle w:val="Standard"/>
        <w:shd w:val="clear" w:color="auto" w:fill="FFFFFF"/>
        <w:ind w:right="60"/>
      </w:pPr>
      <w:r>
        <w:rPr>
          <w:b/>
        </w:rPr>
        <w:t>Fonti di riferimento</w:t>
      </w:r>
    </w:p>
    <w:p w14:paraId="74E12E0B" w14:textId="77777777" w:rsidR="00B47189" w:rsidRDefault="00F505B2">
      <w:pPr>
        <w:pStyle w:val="Standard"/>
        <w:numPr>
          <w:ilvl w:val="0"/>
          <w:numId w:val="4"/>
        </w:numPr>
        <w:ind w:right="60"/>
        <w:jc w:val="both"/>
      </w:pPr>
      <w:r>
        <w:rPr>
          <w:b/>
        </w:rPr>
        <w:t>Decreto del Presidente della Repubblica 28 dicembre 2000, n. 445</w:t>
      </w:r>
      <w:r>
        <w:t xml:space="preserve"> </w:t>
      </w:r>
      <w:r>
        <w:rPr>
          <w:i/>
        </w:rPr>
        <w:t>“Testo Unico delle disposizioni legislative e regolamentari in materia di documentazione amministrativa”</w:t>
      </w:r>
    </w:p>
    <w:p w14:paraId="7DB04F4F" w14:textId="77777777" w:rsidR="00B47189" w:rsidRDefault="00F505B2">
      <w:pPr>
        <w:pStyle w:val="Standard"/>
        <w:numPr>
          <w:ilvl w:val="0"/>
          <w:numId w:val="1"/>
        </w:numPr>
        <w:ind w:right="60"/>
        <w:jc w:val="both"/>
      </w:pPr>
      <w:r>
        <w:rPr>
          <w:b/>
        </w:rPr>
        <w:t xml:space="preserve">Decreto legislativo 30 giugno 2003 n. 196 </w:t>
      </w:r>
      <w:r>
        <w:rPr>
          <w:i/>
        </w:rPr>
        <w:t>“Codice in materia di protezione dei dati personali,</w:t>
      </w:r>
      <w:r>
        <w:rPr>
          <w:i/>
          <w:color w:val="19191A"/>
          <w:sz w:val="27"/>
          <w:szCs w:val="27"/>
        </w:rPr>
        <w:t xml:space="preserve"> </w:t>
      </w:r>
      <w:r>
        <w:rPr>
          <w:i/>
        </w:rPr>
        <w:t>recante disposizioni per l'adeguamento dell'ordinamento nazionale al regolamento (UE) n. 2016/679 del Parlamento europeo e del Consiglio, del 27 aprile 2016, relativo alla protezione delle persone fisiche con riguardo al trattamento dei dati personali, nonché alla libera circolazione di tali dati e che abroga la direttiva 95/46/CE”</w:t>
      </w:r>
    </w:p>
    <w:p w14:paraId="6FDF7884" w14:textId="77777777" w:rsidR="00B47189" w:rsidRDefault="00F505B2">
      <w:pPr>
        <w:pStyle w:val="Standard"/>
        <w:numPr>
          <w:ilvl w:val="0"/>
          <w:numId w:val="1"/>
        </w:numPr>
        <w:ind w:right="60"/>
        <w:jc w:val="both"/>
      </w:pPr>
      <w:r>
        <w:rPr>
          <w:b/>
        </w:rPr>
        <w:t>Decreto legislativo 7 marzo 2005, n. 82</w:t>
      </w:r>
      <w:r>
        <w:t xml:space="preserve"> “</w:t>
      </w:r>
      <w:r>
        <w:rPr>
          <w:i/>
        </w:rPr>
        <w:t>Codice dell’amministrazione digitale”</w:t>
      </w:r>
    </w:p>
    <w:p w14:paraId="6B1F52AB" w14:textId="77777777" w:rsidR="00B47189" w:rsidRDefault="00F505B2">
      <w:pPr>
        <w:pStyle w:val="Standard"/>
        <w:numPr>
          <w:ilvl w:val="0"/>
          <w:numId w:val="1"/>
        </w:numPr>
        <w:ind w:right="60"/>
        <w:jc w:val="both"/>
      </w:pPr>
      <w:r>
        <w:rPr>
          <w:b/>
        </w:rPr>
        <w:t>Decreto legislativo 14 marzo 2013, n. 33</w:t>
      </w:r>
      <w:r>
        <w:t xml:space="preserve"> “</w:t>
      </w:r>
      <w:r>
        <w:rPr>
          <w:i/>
        </w:rPr>
        <w:t>Riordino della disciplina riguardante gli obblighi di pubblicità, trasparenza e diffusione di informazioni”</w:t>
      </w:r>
    </w:p>
    <w:p w14:paraId="2BB3478F" w14:textId="77777777" w:rsidR="00B47189" w:rsidRDefault="00F505B2">
      <w:pPr>
        <w:pStyle w:val="Standard"/>
        <w:numPr>
          <w:ilvl w:val="0"/>
          <w:numId w:val="1"/>
        </w:numPr>
        <w:ind w:right="60"/>
        <w:jc w:val="both"/>
      </w:pPr>
      <w:r>
        <w:rPr>
          <w:b/>
        </w:rPr>
        <w:t xml:space="preserve">Regolamento (UE) 2016/679 del Parlamento europeo e del Consiglio del 27 aprile 2016 </w:t>
      </w:r>
      <w:r>
        <w:rPr>
          <w:i/>
        </w:rPr>
        <w:t xml:space="preserve">relativo alla protezione delle persone fisiche con riguardo al trattamento dei dati personali, nonché alla libera circolazione di tali dati Regolamento generale per la protezione dei dati personali 2016/679 </w:t>
      </w:r>
      <w:r>
        <w:t>(General Data Protection Regulation o GDPR)</w:t>
      </w:r>
    </w:p>
    <w:p w14:paraId="17CCFFE9" w14:textId="77777777" w:rsidR="00B47189" w:rsidRPr="00F505B2" w:rsidRDefault="00F505B2">
      <w:pPr>
        <w:pStyle w:val="Standard"/>
        <w:numPr>
          <w:ilvl w:val="0"/>
          <w:numId w:val="1"/>
        </w:numPr>
        <w:ind w:right="60"/>
        <w:jc w:val="both"/>
      </w:pPr>
      <w:r>
        <w:rPr>
          <w:b/>
        </w:rPr>
        <w:t>Decreto legislativo 25 maggio 2016, n. 97</w:t>
      </w:r>
      <w:r>
        <w:rPr>
          <w:i/>
        </w:rPr>
        <w:t xml:space="preserve"> “Revisione e semplificazione delle disposizioni in materia di prevenzione della corruzione, pubblicità e trasparenza, correttivo della legge 6 novembre 2012, n. 190 e del decreto legislativo 14 marzo 2013, n.33, ai sensi dell'articolo 7 della legge 7 agosto 2015, n. 124, in materia di riorganizzazione delle amministrazioni pubbliche”</w:t>
      </w:r>
    </w:p>
    <w:p w14:paraId="707DA087" w14:textId="5900C883" w:rsidR="00F505B2" w:rsidRPr="00F505B2" w:rsidRDefault="00F505B2" w:rsidP="00F505B2">
      <w:pPr>
        <w:pStyle w:val="Paragrafoelenco"/>
        <w:numPr>
          <w:ilvl w:val="0"/>
          <w:numId w:val="1"/>
        </w:numPr>
        <w:rPr>
          <w:rFonts w:cs="Arial"/>
          <w:szCs w:val="22"/>
        </w:rPr>
      </w:pPr>
      <w:r w:rsidRPr="00F505B2">
        <w:rPr>
          <w:rFonts w:cs="Arial"/>
          <w:szCs w:val="22"/>
        </w:rPr>
        <w:t xml:space="preserve">Regolamento in materia di accesso documentale e di accesso civico semplice e generalizzato, adottato con delibera del Consiglio Direttivo dell’AC di </w:t>
      </w:r>
      <w:r>
        <w:rPr>
          <w:rFonts w:cs="Arial"/>
          <w:szCs w:val="22"/>
        </w:rPr>
        <w:t>Bolzano</w:t>
      </w:r>
      <w:r w:rsidRPr="00F505B2">
        <w:rPr>
          <w:rFonts w:cs="Arial"/>
          <w:szCs w:val="22"/>
        </w:rPr>
        <w:t xml:space="preserve"> del </w:t>
      </w:r>
      <w:r w:rsidR="007A56EA">
        <w:rPr>
          <w:rFonts w:cs="Arial"/>
          <w:szCs w:val="22"/>
        </w:rPr>
        <w:t>14/06/2024.</w:t>
      </w:r>
    </w:p>
    <w:p w14:paraId="561D3307" w14:textId="77777777" w:rsidR="00B47189" w:rsidRDefault="00B47189">
      <w:pPr>
        <w:pStyle w:val="Standard"/>
        <w:ind w:left="720" w:right="60"/>
        <w:jc w:val="both"/>
      </w:pPr>
    </w:p>
    <w:p w14:paraId="393B7673" w14:textId="77777777" w:rsidR="00B47189" w:rsidRDefault="00B47189">
      <w:pPr>
        <w:pStyle w:val="Standard"/>
        <w:ind w:left="720" w:right="60"/>
        <w:jc w:val="both"/>
      </w:pPr>
    </w:p>
    <w:p w14:paraId="393BEAA0" w14:textId="77777777" w:rsidR="00B47189" w:rsidRDefault="00B47189">
      <w:pPr>
        <w:pStyle w:val="Standard"/>
        <w:shd w:val="clear" w:color="auto" w:fill="FFFFFF"/>
        <w:ind w:right="60"/>
        <w:jc w:val="both"/>
        <w:rPr>
          <w:i/>
          <w:color w:val="1155CC"/>
        </w:rPr>
      </w:pPr>
    </w:p>
    <w:p w14:paraId="4AA4D597" w14:textId="77777777" w:rsidR="00B47189" w:rsidRDefault="00F505B2">
      <w:pPr>
        <w:pStyle w:val="Standard"/>
        <w:ind w:right="60"/>
        <w:jc w:val="both"/>
      </w:pPr>
      <w:r>
        <w:rPr>
          <w:color w:val="1155CC"/>
        </w:rPr>
        <w:t>Modulo di richiesta dell’accesso civico semplice</w:t>
      </w:r>
    </w:p>
    <w:sectPr w:rsidR="00B4718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17B61" w14:textId="77777777" w:rsidR="00DA6BE6" w:rsidRDefault="00DA6BE6">
      <w:pPr>
        <w:spacing w:line="240" w:lineRule="auto"/>
      </w:pPr>
      <w:r>
        <w:separator/>
      </w:r>
    </w:p>
  </w:endnote>
  <w:endnote w:type="continuationSeparator" w:id="0">
    <w:p w14:paraId="58BA1B8C" w14:textId="77777777" w:rsidR="00DA6BE6" w:rsidRDefault="00DA6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7D64D" w14:textId="77777777" w:rsidR="00DA6BE6" w:rsidRDefault="00DA6BE6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544949D" w14:textId="77777777" w:rsidR="00DA6BE6" w:rsidRDefault="00DA6B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D87CF8"/>
    <w:multiLevelType w:val="multilevel"/>
    <w:tmpl w:val="169A763A"/>
    <w:styleLink w:val="WWNum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1.%2.%3.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1.%2.%3.%4.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1.%2.%3.%4.%5.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5A1203"/>
    <w:multiLevelType w:val="multilevel"/>
    <w:tmpl w:val="7F88E8BA"/>
    <w:styleLink w:val="WWNum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61187099">
    <w:abstractNumId w:val="1"/>
  </w:num>
  <w:num w:numId="2" w16cid:durableId="121769482">
    <w:abstractNumId w:val="0"/>
  </w:num>
  <w:num w:numId="3" w16cid:durableId="402992592">
    <w:abstractNumId w:val="0"/>
  </w:num>
  <w:num w:numId="4" w16cid:durableId="1916864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189"/>
    <w:rsid w:val="004631BB"/>
    <w:rsid w:val="007A56EA"/>
    <w:rsid w:val="00B47189"/>
    <w:rsid w:val="00DA6BE6"/>
    <w:rsid w:val="00F5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BFCA"/>
  <w15:docId w15:val="{F3DAC5C4-B98E-4E23-9E5E-3C748BDD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kern w:val="3"/>
        <w:sz w:val="22"/>
        <w:szCs w:val="22"/>
        <w:lang w:val="it-IT" w:eastAsia="zh-CN" w:bidi="hi-IN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</w:pPr>
  </w:style>
  <w:style w:type="paragraph" w:styleId="Titolo1">
    <w:name w:val="heading 1"/>
    <w:basedOn w:val="Normale"/>
    <w:next w:val="Textbody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Normale"/>
    <w:next w:val="Textbody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Normale"/>
    <w:next w:val="Textbody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Textbody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Textbody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Normale"/>
    <w:next w:val="Textbody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Normale"/>
    <w:next w:val="Sottotitolo"/>
    <w:uiPriority w:val="10"/>
    <w:qFormat/>
    <w:pPr>
      <w:keepNext/>
      <w:keepLines/>
      <w:spacing w:after="60" w:line="240" w:lineRule="auto"/>
    </w:pPr>
    <w:rPr>
      <w:b/>
      <w:bCs/>
      <w:sz w:val="52"/>
      <w:szCs w:val="52"/>
    </w:rPr>
  </w:style>
  <w:style w:type="paragraph" w:styleId="Sottotitolo">
    <w:name w:val="Subtitle"/>
    <w:basedOn w:val="Normale"/>
    <w:next w:val="Textbody"/>
    <w:uiPriority w:val="11"/>
    <w:qFormat/>
    <w:pPr>
      <w:keepNext/>
      <w:keepLines/>
      <w:spacing w:after="320" w:line="240" w:lineRule="auto"/>
    </w:pPr>
    <w:rPr>
      <w:iCs/>
      <w:color w:val="666666"/>
      <w:sz w:val="30"/>
      <w:szCs w:val="30"/>
    </w:rPr>
  </w:style>
  <w:style w:type="character" w:customStyle="1" w:styleId="ListLabel1">
    <w:name w:val="ListLabel 1"/>
    <w:rPr>
      <w:u w:val="non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cs="Mangal"/>
      <w:sz w:val="20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05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505B2"/>
    <w:rPr>
      <w:rFonts w:cs="Mangal"/>
      <w:b/>
      <w:bCs/>
      <w:sz w:val="20"/>
      <w:szCs w:val="18"/>
    </w:rPr>
  </w:style>
  <w:style w:type="paragraph" w:styleId="Paragrafoelenco">
    <w:name w:val="List Paragraph"/>
    <w:basedOn w:val="Normale"/>
    <w:uiPriority w:val="34"/>
    <w:qFormat/>
    <w:rsid w:val="00F505B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Giorgia Cacciatore - Aci Bolzano</cp:lastModifiedBy>
  <cp:revision>3</cp:revision>
  <dcterms:created xsi:type="dcterms:W3CDTF">2024-04-16T10:19:00Z</dcterms:created>
  <dcterms:modified xsi:type="dcterms:W3CDTF">2024-06-17T09:10:00Z</dcterms:modified>
</cp:coreProperties>
</file>